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5F" w:rsidRPr="00A6765F" w:rsidRDefault="00A6765F" w:rsidP="00A6765F">
      <w:pPr>
        <w:spacing w:line="276" w:lineRule="auto"/>
        <w:jc w:val="both"/>
        <w:rPr>
          <w:rFonts w:ascii="Times New Roman" w:hAnsi="Times New Roman" w:cs="Times New Roman"/>
          <w:sz w:val="24"/>
          <w:szCs w:val="24"/>
        </w:rPr>
      </w:pPr>
    </w:p>
    <w:p w:rsidR="00A6765F" w:rsidRDefault="00A6765F" w:rsidP="00A6765F">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outlineLvl w:val="0"/>
        <w:rPr>
          <w:rFonts w:ascii="Times New Roman" w:eastAsia="Times New Roman" w:hAnsi="Times New Roman" w:cs="Times New Roman"/>
          <w:b/>
          <w:bCs/>
          <w:color w:val="2A303B"/>
          <w:kern w:val="36"/>
          <w:sz w:val="24"/>
          <w:szCs w:val="24"/>
          <w:lang w:eastAsia="fr-FR"/>
        </w:rPr>
      </w:pPr>
      <w:r w:rsidRPr="00A6765F">
        <w:rPr>
          <w:rFonts w:ascii="Times New Roman" w:hAnsi="Times New Roman" w:cs="Times New Roman"/>
          <w:sz w:val="24"/>
          <w:szCs w:val="24"/>
        </w:rPr>
        <w:tab/>
      </w:r>
    </w:p>
    <w:p w:rsidR="00A6765F" w:rsidRPr="00A6765F" w:rsidRDefault="00A6765F" w:rsidP="00A6765F">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center"/>
        <w:outlineLvl w:val="0"/>
        <w:rPr>
          <w:rFonts w:ascii="Times New Roman" w:eastAsia="Times New Roman" w:hAnsi="Times New Roman" w:cs="Times New Roman"/>
          <w:b/>
          <w:bCs/>
          <w:color w:val="0070C0"/>
          <w:kern w:val="36"/>
          <w:sz w:val="32"/>
          <w:szCs w:val="24"/>
          <w:lang w:eastAsia="fr-FR"/>
        </w:rPr>
      </w:pPr>
      <w:r w:rsidRPr="00A6765F">
        <w:rPr>
          <w:rFonts w:ascii="Times New Roman" w:eastAsia="Times New Roman" w:hAnsi="Times New Roman" w:cs="Times New Roman"/>
          <w:b/>
          <w:bCs/>
          <w:color w:val="0070C0"/>
          <w:kern w:val="36"/>
          <w:sz w:val="32"/>
          <w:szCs w:val="24"/>
          <w:lang w:eastAsia="fr-FR"/>
        </w:rPr>
        <w:t>« FEMINICIDE », CE TERME QUI EMBARRASSE LA MAGISTRATURE</w:t>
      </w:r>
    </w:p>
    <w:p w:rsidR="00A6765F" w:rsidRPr="00A6765F" w:rsidRDefault="00A6765F" w:rsidP="00A6765F">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outlineLvl w:val="0"/>
        <w:rPr>
          <w:rFonts w:ascii="Times New Roman" w:eastAsia="Times New Roman" w:hAnsi="Times New Roman" w:cs="Times New Roman"/>
          <w:b/>
          <w:bCs/>
          <w:color w:val="2A303B"/>
          <w:kern w:val="36"/>
          <w:sz w:val="24"/>
          <w:szCs w:val="24"/>
          <w:lang w:eastAsia="fr-FR"/>
        </w:rPr>
      </w:pP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2A303B"/>
          <w:sz w:val="24"/>
          <w:szCs w:val="24"/>
          <w:lang w:eastAsia="fr-FR"/>
        </w:rPr>
      </w:pPr>
      <w:r w:rsidRPr="00A6765F">
        <w:rPr>
          <w:rFonts w:ascii="Times New Roman" w:eastAsia="Times New Roman" w:hAnsi="Times New Roman" w:cs="Times New Roman"/>
          <w:color w:val="2A303B"/>
          <w:sz w:val="24"/>
          <w:szCs w:val="24"/>
          <w:lang w:eastAsia="fr-FR"/>
        </w:rPr>
        <w:t>La procureure d’Auch a évoqué un « probable féminicide suivi d’un suicide » après la mort d’un couple, fin août. Le terme reste très rarement employé par les magistrats.</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Une maison jaune aux volets bordeaux, posée à la sortie du village de Pessan, dans le Gers. Ce mardi 20 août, la fille du propriétaire, sans nouvelles de son père de 81 ans depuis quelques jours, y entre. A l’intérieur, elle trouve sa belle-mère, une Gabonaise de 49 ans, allongée dans son lit, tuée d’une balle dans la tête. Le corps de son père est adossé à l’armoire de la chambre : il a retourné l’arme contre lui.</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La procureure d’Auch, Charlotte Beluet, chargée de répondre à la presse pour décrire les faits, parle officiellement </w:t>
      </w:r>
      <w:r w:rsidRPr="00A6765F">
        <w:rPr>
          <w:rFonts w:ascii="Times New Roman" w:eastAsia="Times New Roman" w:hAnsi="Times New Roman" w:cs="Times New Roman"/>
          <w:i/>
          <w:iCs/>
          <w:color w:val="383F4E"/>
          <w:sz w:val="24"/>
          <w:szCs w:val="24"/>
          <w:lang w:eastAsia="fr-FR"/>
        </w:rPr>
        <w:t>« d’un probable féminicide suivi d’un suicide »</w:t>
      </w:r>
      <w:r w:rsidRPr="00A6765F">
        <w:rPr>
          <w:rFonts w:ascii="Times New Roman" w:eastAsia="Times New Roman" w:hAnsi="Times New Roman" w:cs="Times New Roman"/>
          <w:color w:val="383F4E"/>
          <w:sz w:val="24"/>
          <w:szCs w:val="24"/>
          <w:lang w:eastAsia="fr-FR"/>
        </w:rPr>
        <w:t>. Une déclaration rarissime : c’est l’une des premières fois qu’un magistrat utilise publiquement ce terme, alors que, depuis le début de l’année, le collectif Féminicides par compagnons ou ex recense 94 actes. Jusque-là, les magistrats restent très prudents avec ce terme qui, à ce jour, ne figure pas dans le code pénal.</w:t>
      </w:r>
      <w:r w:rsidRPr="00A6765F">
        <w:rPr>
          <w:rFonts w:ascii="Times New Roman" w:eastAsia="Times New Roman" w:hAnsi="Times New Roman" w:cs="Times New Roman"/>
          <w:sz w:val="24"/>
          <w:szCs w:val="24"/>
          <w:lang w:eastAsia="fr-FR"/>
        </w:rPr>
        <w:t xml:space="preserve"> </w:t>
      </w:r>
    </w:p>
    <w:p w:rsidR="00A6765F" w:rsidRPr="00A6765F" w:rsidRDefault="00A6765F" w:rsidP="00A6765F">
      <w:pPr>
        <w:spacing w:before="100" w:beforeAutospacing="1" w:after="100" w:afterAutospacing="1" w:line="276" w:lineRule="auto"/>
        <w:jc w:val="both"/>
        <w:outlineLvl w:val="1"/>
        <w:rPr>
          <w:rFonts w:ascii="Times New Roman" w:eastAsia="Times New Roman" w:hAnsi="Times New Roman" w:cs="Times New Roman"/>
          <w:b/>
          <w:bCs/>
          <w:color w:val="2A303B"/>
          <w:sz w:val="24"/>
          <w:szCs w:val="24"/>
          <w:lang w:eastAsia="fr-FR"/>
        </w:rPr>
      </w:pPr>
      <w:r w:rsidRPr="00A6765F">
        <w:rPr>
          <w:rFonts w:ascii="Times New Roman" w:eastAsia="Times New Roman" w:hAnsi="Times New Roman" w:cs="Times New Roman"/>
          <w:b/>
          <w:bCs/>
          <w:color w:val="2A303B"/>
          <w:sz w:val="24"/>
          <w:szCs w:val="24"/>
          <w:lang w:eastAsia="fr-FR"/>
        </w:rPr>
        <w:t>« Montrer que ça n’a rien de romantique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Jointe par </w:t>
      </w:r>
      <w:r w:rsidRPr="00A6765F">
        <w:rPr>
          <w:rFonts w:ascii="Times New Roman" w:eastAsia="Times New Roman" w:hAnsi="Times New Roman" w:cs="Times New Roman"/>
          <w:i/>
          <w:iCs/>
          <w:color w:val="383F4E"/>
          <w:sz w:val="24"/>
          <w:szCs w:val="24"/>
          <w:lang w:eastAsia="fr-FR"/>
        </w:rPr>
        <w:t>Le Monde</w:t>
      </w:r>
      <w:r w:rsidRPr="00A6765F">
        <w:rPr>
          <w:rFonts w:ascii="Times New Roman" w:eastAsia="Times New Roman" w:hAnsi="Times New Roman" w:cs="Times New Roman"/>
          <w:color w:val="383F4E"/>
          <w:sz w:val="24"/>
          <w:szCs w:val="24"/>
          <w:lang w:eastAsia="fr-FR"/>
        </w:rPr>
        <w:t>, Charlotte Beluet avoue qu’elle n’y a même pas réfléchi avant, tellement cela lui a semblé évident. Même si, selon la loi, le meurtre de Pessan est un homicide par conjoint, elle revendique le fait de </w:t>
      </w:r>
      <w:r w:rsidRPr="00A6765F">
        <w:rPr>
          <w:rFonts w:ascii="Times New Roman" w:eastAsia="Times New Roman" w:hAnsi="Times New Roman" w:cs="Times New Roman"/>
          <w:i/>
          <w:iCs/>
          <w:color w:val="383F4E"/>
          <w:sz w:val="24"/>
          <w:szCs w:val="24"/>
          <w:lang w:eastAsia="fr-FR"/>
        </w:rPr>
        <w:t>« nommer les choses »</w:t>
      </w:r>
      <w:r w:rsidRPr="00A6765F">
        <w:rPr>
          <w:rFonts w:ascii="Times New Roman" w:eastAsia="Times New Roman" w:hAnsi="Times New Roman" w:cs="Times New Roman"/>
          <w:color w:val="383F4E"/>
          <w:sz w:val="24"/>
          <w:szCs w:val="24"/>
          <w:lang w:eastAsia="fr-FR"/>
        </w:rPr>
        <w:t> : </w:t>
      </w:r>
      <w:r w:rsidRPr="00A6765F">
        <w:rPr>
          <w:rFonts w:ascii="Times New Roman" w:eastAsia="Times New Roman" w:hAnsi="Times New Roman" w:cs="Times New Roman"/>
          <w:i/>
          <w:iCs/>
          <w:color w:val="383F4E"/>
          <w:sz w:val="24"/>
          <w:szCs w:val="24"/>
          <w:lang w:eastAsia="fr-FR"/>
        </w:rPr>
        <w:t>« Je l’assume, je contrebalance tous ces discours autour de ces auteurs qui tueraient, guidés par un trop-plein d’amour, qui seraient meurtriers malgré eux. Parler de féminicide, c’est montrer que ça n’a rien de romantique. »</w:t>
      </w:r>
      <w:r w:rsidRPr="00A6765F">
        <w:rPr>
          <w:rFonts w:ascii="Times New Roman" w:eastAsia="Times New Roman" w:hAnsi="Times New Roman" w:cs="Times New Roman"/>
          <w:color w:val="383F4E"/>
          <w:sz w:val="24"/>
          <w:szCs w:val="24"/>
          <w:lang w:eastAsia="fr-FR"/>
        </w:rPr>
        <w:t> Avant le drame, les époux de Pessan étaient en plein processus de séparation.</w:t>
      </w:r>
      <w:r w:rsidRPr="00A6765F">
        <w:rPr>
          <w:rFonts w:ascii="Times New Roman" w:eastAsia="Times New Roman" w:hAnsi="Times New Roman" w:cs="Times New Roman"/>
          <w:i/>
          <w:iCs/>
          <w:color w:val="383F4E"/>
          <w:sz w:val="24"/>
          <w:szCs w:val="24"/>
          <w:lang w:eastAsia="fr-FR"/>
        </w:rPr>
        <w:t> « Elle veut le quitter, il ne veut pas car il se croit propriétaire de sa femme. Le meilleur moyen de continuer à posséder quelqu’un c’est de le tuer »</w:t>
      </w:r>
      <w:r w:rsidRPr="00A6765F">
        <w:rPr>
          <w:rFonts w:ascii="Times New Roman" w:eastAsia="Times New Roman" w:hAnsi="Times New Roman" w:cs="Times New Roman"/>
          <w:color w:val="383F4E"/>
          <w:sz w:val="24"/>
          <w:szCs w:val="24"/>
          <w:lang w:eastAsia="fr-FR"/>
        </w:rPr>
        <w:t>, argumente Charlotte Beluet.</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Le mot « féminicide » n’existe pas dans le dictionnaire Larousse, et il est défini dans le Petit Robert seulement depuis 2015, avec la notice suivante : </w:t>
      </w:r>
      <w:r w:rsidRPr="00A6765F">
        <w:rPr>
          <w:rFonts w:ascii="Times New Roman" w:eastAsia="Times New Roman" w:hAnsi="Times New Roman" w:cs="Times New Roman"/>
          <w:i/>
          <w:iCs/>
          <w:color w:val="383F4E"/>
          <w:sz w:val="24"/>
          <w:szCs w:val="24"/>
          <w:lang w:eastAsia="fr-FR"/>
        </w:rPr>
        <w:t>« Meurtre d’une femme en raison de son sexe. » </w:t>
      </w:r>
      <w:r w:rsidRPr="00A6765F">
        <w:rPr>
          <w:rFonts w:ascii="Times New Roman" w:eastAsia="Times New Roman" w:hAnsi="Times New Roman" w:cs="Times New Roman"/>
          <w:color w:val="383F4E"/>
          <w:sz w:val="24"/>
          <w:szCs w:val="24"/>
          <w:lang w:eastAsia="fr-FR"/>
        </w:rPr>
        <w:t xml:space="preserve">Les procureurs tâtonnent dans leurs déclarations pour décrire ces meurtres. Le </w:t>
      </w:r>
      <w:r w:rsidRPr="00A6765F">
        <w:rPr>
          <w:rFonts w:ascii="Times New Roman" w:eastAsia="Times New Roman" w:hAnsi="Times New Roman" w:cs="Times New Roman"/>
          <w:color w:val="383F4E"/>
          <w:sz w:val="24"/>
          <w:szCs w:val="24"/>
          <w:lang w:eastAsia="fr-FR"/>
        </w:rPr>
        <w:lastRenderedPageBreak/>
        <w:t>14 août à Romilly-sur-Seine, dans l’Aube, une femme est retrouvée morte dans son abri de jardin. Le mari a tenté de se suicider. En conférence de presse, le procureur de Troyes parle de </w:t>
      </w:r>
      <w:r w:rsidRPr="00A6765F">
        <w:rPr>
          <w:rFonts w:ascii="Times New Roman" w:eastAsia="Times New Roman" w:hAnsi="Times New Roman" w:cs="Times New Roman"/>
          <w:i/>
          <w:iCs/>
          <w:color w:val="383F4E"/>
          <w:sz w:val="24"/>
          <w:szCs w:val="24"/>
          <w:lang w:eastAsia="fr-FR"/>
        </w:rPr>
        <w:t>« drame intrafamilial »</w:t>
      </w:r>
      <w:r w:rsidRPr="00A6765F">
        <w:rPr>
          <w:rFonts w:ascii="Times New Roman" w:eastAsia="Times New Roman" w:hAnsi="Times New Roman" w:cs="Times New Roman"/>
          <w:color w:val="383F4E"/>
          <w:sz w:val="24"/>
          <w:szCs w:val="24"/>
          <w:lang w:eastAsia="fr-FR"/>
        </w:rPr>
        <w:t>. A Toulouse, en janvier, une mère de famille de 29 ans est tuée par son compagnon : le parquet écrit que </w:t>
      </w:r>
      <w:r w:rsidRPr="00A6765F">
        <w:rPr>
          <w:rFonts w:ascii="Times New Roman" w:eastAsia="Times New Roman" w:hAnsi="Times New Roman" w:cs="Times New Roman"/>
          <w:i/>
          <w:iCs/>
          <w:color w:val="383F4E"/>
          <w:sz w:val="24"/>
          <w:szCs w:val="24"/>
          <w:lang w:eastAsia="fr-FR"/>
        </w:rPr>
        <w:t>« la piste passionnelle est privilégiée par les enquêteurs »</w:t>
      </w:r>
      <w:r w:rsidRPr="00A6765F">
        <w:rPr>
          <w:rFonts w:ascii="Times New Roman" w:eastAsia="Times New Roman" w:hAnsi="Times New Roman" w:cs="Times New Roman"/>
          <w:color w:val="383F4E"/>
          <w:sz w:val="24"/>
          <w:szCs w:val="24"/>
          <w:lang w:eastAsia="fr-FR"/>
        </w:rPr>
        <w:t>, alors que la notion de crime passionnel a été retirée du code pénal depuis 1975.</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Un haut magistrat confiait récemment au</w:t>
      </w:r>
      <w:r w:rsidRPr="00A6765F">
        <w:rPr>
          <w:rFonts w:ascii="Times New Roman" w:eastAsia="Times New Roman" w:hAnsi="Times New Roman" w:cs="Times New Roman"/>
          <w:i/>
          <w:iCs/>
          <w:color w:val="383F4E"/>
          <w:sz w:val="24"/>
          <w:szCs w:val="24"/>
          <w:lang w:eastAsia="fr-FR"/>
        </w:rPr>
        <w:t> Monde</w:t>
      </w:r>
      <w:r w:rsidRPr="00A6765F">
        <w:rPr>
          <w:rFonts w:ascii="Times New Roman" w:eastAsia="Times New Roman" w:hAnsi="Times New Roman" w:cs="Times New Roman"/>
          <w:color w:val="383F4E"/>
          <w:sz w:val="24"/>
          <w:szCs w:val="24"/>
          <w:lang w:eastAsia="fr-FR"/>
        </w:rPr>
        <w:t> sa réticence à user le mot féminicide, estimant dénuée de sens </w:t>
      </w:r>
      <w:r w:rsidRPr="00A6765F">
        <w:rPr>
          <w:rFonts w:ascii="Times New Roman" w:eastAsia="Times New Roman" w:hAnsi="Times New Roman" w:cs="Times New Roman"/>
          <w:i/>
          <w:iCs/>
          <w:color w:val="383F4E"/>
          <w:sz w:val="24"/>
          <w:szCs w:val="24"/>
          <w:lang w:eastAsia="fr-FR"/>
        </w:rPr>
        <w:t>« cette idée de crime genré »</w:t>
      </w:r>
      <w:r w:rsidRPr="00A6765F">
        <w:rPr>
          <w:rFonts w:ascii="Times New Roman" w:eastAsia="Times New Roman" w:hAnsi="Times New Roman" w:cs="Times New Roman"/>
          <w:color w:val="383F4E"/>
          <w:sz w:val="24"/>
          <w:szCs w:val="24"/>
          <w:lang w:eastAsia="fr-FR"/>
        </w:rPr>
        <w:t> et lui préférant l’usage d’homicide conjugal, </w:t>
      </w:r>
      <w:r w:rsidRPr="00A6765F">
        <w:rPr>
          <w:rFonts w:ascii="Times New Roman" w:eastAsia="Times New Roman" w:hAnsi="Times New Roman" w:cs="Times New Roman"/>
          <w:i/>
          <w:iCs/>
          <w:color w:val="383F4E"/>
          <w:sz w:val="24"/>
          <w:szCs w:val="24"/>
          <w:lang w:eastAsia="fr-FR"/>
        </w:rPr>
        <w:t>« plus neutre »</w:t>
      </w:r>
      <w:r w:rsidRPr="00A6765F">
        <w:rPr>
          <w:rFonts w:ascii="Times New Roman" w:eastAsia="Times New Roman" w:hAnsi="Times New Roman" w:cs="Times New Roman"/>
          <w:color w:val="383F4E"/>
          <w:sz w:val="24"/>
          <w:szCs w:val="24"/>
          <w:lang w:eastAsia="fr-FR"/>
        </w:rPr>
        <w:t>.</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L’embarras de la magistrature sur ce terme, Charlotte Beluet le comprend. </w:t>
      </w:r>
      <w:r w:rsidRPr="00A6765F">
        <w:rPr>
          <w:rFonts w:ascii="Times New Roman" w:eastAsia="Times New Roman" w:hAnsi="Times New Roman" w:cs="Times New Roman"/>
          <w:i/>
          <w:iCs/>
          <w:color w:val="383F4E"/>
          <w:sz w:val="24"/>
          <w:szCs w:val="24"/>
          <w:lang w:eastAsia="fr-FR"/>
        </w:rPr>
        <w:t>« Féminicide, c’est teinté de féminisme, de militantisme. Nous, en tant que procureurs, on doit être objectifs, neutres, marqués par rien d’autre que le droit. Je ne suis ni militante ni féministe, mais si 94 hommes avaient été tués par leur femme depuis le début de l’année, peut-être que la réaction du corps social aurait été plus évidente ? »</w:t>
      </w:r>
      <w:r w:rsidRPr="00A6765F">
        <w:rPr>
          <w:rFonts w:ascii="Times New Roman" w:eastAsia="Times New Roman" w:hAnsi="Times New Roman" w:cs="Times New Roman"/>
          <w:color w:val="383F4E"/>
          <w:sz w:val="24"/>
          <w:szCs w:val="24"/>
          <w:lang w:eastAsia="fr-FR"/>
        </w:rPr>
        <w:t>, interroge-t-elle.</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Peu nombreux sont les magistrats à assumer clairement l’utilisation du mot. </w:t>
      </w:r>
      <w:r w:rsidRPr="00A6765F">
        <w:rPr>
          <w:rFonts w:ascii="Times New Roman" w:eastAsia="Times New Roman" w:hAnsi="Times New Roman" w:cs="Times New Roman"/>
          <w:i/>
          <w:iCs/>
          <w:color w:val="383F4E"/>
          <w:sz w:val="24"/>
          <w:szCs w:val="24"/>
          <w:lang w:eastAsia="fr-FR"/>
        </w:rPr>
        <w:t>« Il n’y a pas de position officielle du Syndicat de la magistrature</w:t>
      </w:r>
      <w:r w:rsidRPr="00A6765F">
        <w:rPr>
          <w:rFonts w:ascii="Times New Roman" w:eastAsia="Times New Roman" w:hAnsi="Times New Roman" w:cs="Times New Roman"/>
          <w:color w:val="383F4E"/>
          <w:sz w:val="24"/>
          <w:szCs w:val="24"/>
          <w:lang w:eastAsia="fr-FR"/>
        </w:rPr>
        <w:t>, répond Anne-Sophie Wallach, secrétaire nationale de ce syndicat. </w:t>
      </w:r>
      <w:r w:rsidRPr="00A6765F">
        <w:rPr>
          <w:rFonts w:ascii="Times New Roman" w:eastAsia="Times New Roman" w:hAnsi="Times New Roman" w:cs="Times New Roman"/>
          <w:i/>
          <w:iCs/>
          <w:color w:val="383F4E"/>
          <w:sz w:val="24"/>
          <w:szCs w:val="24"/>
          <w:lang w:eastAsia="fr-FR"/>
        </w:rPr>
        <w:t>Le terme est davantage utilisé depuis le début de l’année et on sent qu’il y a un enjeu politique fort en ce moment et encore plus au mois de septembre avec le Grenelle des violences conjugales. Il recouvre une qualification juridique qui existe déjà et c’est la raison pour laquelle il ne nous paraît pas nécessaire ni utile a priori, sous réserve des positions qu’on pourra prendre ultérieurement en fonction de l’évolution des débats, d’en faire une catégorie juridique, ou en tout cas une infraction à part.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Sans mentionner le « féminicide », le code pénal prend en compte les violences conjugales à l’encontre des femmes. Selon l’alinéa 9 de l’article 221-4, le fait qu’un meurtre soit commis </w:t>
      </w:r>
      <w:r w:rsidRPr="00A6765F">
        <w:rPr>
          <w:rFonts w:ascii="Times New Roman" w:eastAsia="Times New Roman" w:hAnsi="Times New Roman" w:cs="Times New Roman"/>
          <w:i/>
          <w:iCs/>
          <w:color w:val="383F4E"/>
          <w:sz w:val="24"/>
          <w:szCs w:val="24"/>
          <w:lang w:eastAsia="fr-FR"/>
        </w:rPr>
        <w:t>« par le conjoint ou le concubin de la victime »</w:t>
      </w:r>
      <w:r w:rsidRPr="00A6765F">
        <w:rPr>
          <w:rFonts w:ascii="Times New Roman" w:eastAsia="Times New Roman" w:hAnsi="Times New Roman" w:cs="Times New Roman"/>
          <w:color w:val="383F4E"/>
          <w:sz w:val="24"/>
          <w:szCs w:val="24"/>
          <w:lang w:eastAsia="fr-FR"/>
        </w:rPr>
        <w:t> constitue une circonstance aggravante. Depuis une loi du 9 juillet 2010, les « ex » sont aussi visés.</w:t>
      </w:r>
    </w:p>
    <w:p w:rsidR="00A6765F" w:rsidRDefault="00A6765F" w:rsidP="00A6765F">
      <w:pPr>
        <w:spacing w:before="100" w:beforeAutospacing="1" w:after="100" w:afterAutospacing="1" w:line="276" w:lineRule="auto"/>
        <w:jc w:val="both"/>
        <w:rPr>
          <w:rFonts w:ascii="Times New Roman" w:eastAsia="Times New Roman" w:hAnsi="Times New Roman" w:cs="Times New Roman"/>
          <w:i/>
          <w:iCs/>
          <w:color w:val="383F4E"/>
          <w:sz w:val="24"/>
          <w:szCs w:val="24"/>
          <w:lang w:eastAsia="fr-FR"/>
        </w:rPr>
      </w:pPr>
      <w:r w:rsidRPr="00A6765F">
        <w:rPr>
          <w:rFonts w:ascii="Times New Roman" w:eastAsia="Times New Roman" w:hAnsi="Times New Roman" w:cs="Times New Roman"/>
          <w:color w:val="383F4E"/>
          <w:sz w:val="24"/>
          <w:szCs w:val="24"/>
          <w:lang w:eastAsia="fr-FR"/>
        </w:rPr>
        <w:t>Pour Pascal Gastineau, président de l’Association française des magistrats instructeurs, tous les acteurs du monde judiciaire ne sont pas égaux face à l’emploi du mot féminicide, inventé par une sociologue sud-africaine dans les années 1970. </w:t>
      </w:r>
      <w:r w:rsidRPr="00A6765F">
        <w:rPr>
          <w:rFonts w:ascii="Times New Roman" w:eastAsia="Times New Roman" w:hAnsi="Times New Roman" w:cs="Times New Roman"/>
          <w:i/>
          <w:iCs/>
          <w:color w:val="383F4E"/>
          <w:sz w:val="24"/>
          <w:szCs w:val="24"/>
          <w:lang w:eastAsia="fr-FR"/>
        </w:rPr>
        <w:t>« On utilisait, à la fin du XIX</w:t>
      </w:r>
      <w:r w:rsidRPr="00A6765F">
        <w:rPr>
          <w:rFonts w:ascii="Times New Roman" w:eastAsia="Times New Roman" w:hAnsi="Times New Roman" w:cs="Times New Roman"/>
          <w:i/>
          <w:iCs/>
          <w:color w:val="383F4E"/>
          <w:sz w:val="24"/>
          <w:szCs w:val="24"/>
          <w:vertAlign w:val="superscript"/>
          <w:lang w:eastAsia="fr-FR"/>
        </w:rPr>
        <w:t>e</w:t>
      </w:r>
      <w:r w:rsidRPr="00A6765F">
        <w:rPr>
          <w:rFonts w:ascii="Times New Roman" w:eastAsia="Times New Roman" w:hAnsi="Times New Roman" w:cs="Times New Roman"/>
          <w:i/>
          <w:iCs/>
          <w:color w:val="383F4E"/>
          <w:sz w:val="24"/>
          <w:szCs w:val="24"/>
          <w:lang w:eastAsia="fr-FR"/>
        </w:rPr>
        <w:t> ou au début du XX</w:t>
      </w:r>
      <w:r w:rsidRPr="00A6765F">
        <w:rPr>
          <w:rFonts w:ascii="Times New Roman" w:eastAsia="Times New Roman" w:hAnsi="Times New Roman" w:cs="Times New Roman"/>
          <w:i/>
          <w:iCs/>
          <w:color w:val="383F4E"/>
          <w:sz w:val="24"/>
          <w:szCs w:val="24"/>
          <w:vertAlign w:val="superscript"/>
          <w:lang w:eastAsia="fr-FR"/>
        </w:rPr>
        <w:t>e</w:t>
      </w:r>
      <w:r w:rsidRPr="00A6765F">
        <w:rPr>
          <w:rFonts w:ascii="Times New Roman" w:eastAsia="Times New Roman" w:hAnsi="Times New Roman" w:cs="Times New Roman"/>
          <w:i/>
          <w:iCs/>
          <w:color w:val="383F4E"/>
          <w:sz w:val="24"/>
          <w:szCs w:val="24"/>
          <w:lang w:eastAsia="fr-FR"/>
        </w:rPr>
        <w:t> siècle, l’expression crime passionnel</w:t>
      </w:r>
      <w:r w:rsidRPr="00A6765F">
        <w:rPr>
          <w:rFonts w:ascii="Times New Roman" w:eastAsia="Times New Roman" w:hAnsi="Times New Roman" w:cs="Times New Roman"/>
          <w:color w:val="383F4E"/>
          <w:sz w:val="24"/>
          <w:szCs w:val="24"/>
          <w:lang w:eastAsia="fr-FR"/>
        </w:rPr>
        <w:t>, retrace-t-il. </w:t>
      </w:r>
      <w:r w:rsidRPr="00A6765F">
        <w:rPr>
          <w:rFonts w:ascii="Times New Roman" w:eastAsia="Times New Roman" w:hAnsi="Times New Roman" w:cs="Times New Roman"/>
          <w:i/>
          <w:iCs/>
          <w:color w:val="383F4E"/>
          <w:sz w:val="24"/>
          <w:szCs w:val="24"/>
          <w:lang w:eastAsia="fr-FR"/>
        </w:rPr>
        <w:t>On a depuis évolué. Tous ces termes qui ne sont pas dans le code pénal peuvent être utilisés par les uns, mais sont interdits à d’autres, parce que certains, comme les juges d’instruction, ont une obligation de stricte neutralité et d’objectivité. Il y a une différence entre le procureur qui requiert à l’audience au nom de la société avec cette liberté de parole et le juge d’instruction qui ne peut mettre en examen que pour des faits objectivement déterminés par le code pénal.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p>
    <w:p w:rsidR="00A6765F" w:rsidRPr="00A6765F" w:rsidRDefault="00A6765F" w:rsidP="00A6765F">
      <w:pPr>
        <w:spacing w:before="100" w:beforeAutospacing="1" w:after="100" w:afterAutospacing="1" w:line="276" w:lineRule="auto"/>
        <w:jc w:val="both"/>
        <w:outlineLvl w:val="1"/>
        <w:rPr>
          <w:rFonts w:ascii="Times New Roman" w:eastAsia="Times New Roman" w:hAnsi="Times New Roman" w:cs="Times New Roman"/>
          <w:b/>
          <w:bCs/>
          <w:color w:val="2A303B"/>
          <w:sz w:val="24"/>
          <w:szCs w:val="24"/>
          <w:lang w:eastAsia="fr-FR"/>
        </w:rPr>
      </w:pPr>
      <w:r w:rsidRPr="00A6765F">
        <w:rPr>
          <w:rFonts w:ascii="Times New Roman" w:eastAsia="Times New Roman" w:hAnsi="Times New Roman" w:cs="Times New Roman"/>
          <w:b/>
          <w:bCs/>
          <w:color w:val="2A303B"/>
          <w:sz w:val="24"/>
          <w:szCs w:val="24"/>
          <w:lang w:eastAsia="fr-FR"/>
        </w:rPr>
        <w:lastRenderedPageBreak/>
        <w:t>« Porter atteinte à l’universalisme du droit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Dans un avis rendu sur la question au printemps 2016, la Commission nationale consultative des droits de l’homme (CNCDH) estime qu’il n’est </w:t>
      </w:r>
      <w:r w:rsidRPr="00A6765F">
        <w:rPr>
          <w:rFonts w:ascii="Times New Roman" w:eastAsia="Times New Roman" w:hAnsi="Times New Roman" w:cs="Times New Roman"/>
          <w:i/>
          <w:iCs/>
          <w:color w:val="383F4E"/>
          <w:sz w:val="24"/>
          <w:szCs w:val="24"/>
          <w:lang w:eastAsia="fr-FR"/>
        </w:rPr>
        <w:t>« pas opportun »</w:t>
      </w:r>
      <w:r w:rsidRPr="00A6765F">
        <w:rPr>
          <w:rFonts w:ascii="Times New Roman" w:eastAsia="Times New Roman" w:hAnsi="Times New Roman" w:cs="Times New Roman"/>
          <w:color w:val="383F4E"/>
          <w:sz w:val="24"/>
          <w:szCs w:val="24"/>
          <w:lang w:eastAsia="fr-FR"/>
        </w:rPr>
        <w:t> d’introduire le terme dans le code pénal, dans la mesure où ce changement pourrait </w:t>
      </w:r>
      <w:r w:rsidRPr="00A6765F">
        <w:rPr>
          <w:rFonts w:ascii="Times New Roman" w:eastAsia="Times New Roman" w:hAnsi="Times New Roman" w:cs="Times New Roman"/>
          <w:i/>
          <w:iCs/>
          <w:color w:val="383F4E"/>
          <w:sz w:val="24"/>
          <w:szCs w:val="24"/>
          <w:lang w:eastAsia="fr-FR"/>
        </w:rPr>
        <w:t>« porter atteinte à l’universalisme du droit </w:t>
      </w:r>
      <w:r w:rsidRPr="00A6765F">
        <w:rPr>
          <w:rFonts w:ascii="Times New Roman" w:eastAsia="Times New Roman" w:hAnsi="Times New Roman" w:cs="Times New Roman"/>
          <w:color w:val="383F4E"/>
          <w:sz w:val="24"/>
          <w:szCs w:val="24"/>
          <w:lang w:eastAsia="fr-FR"/>
        </w:rPr>
        <w:t>(…)</w:t>
      </w:r>
      <w:r w:rsidRPr="00A6765F">
        <w:rPr>
          <w:rFonts w:ascii="Times New Roman" w:eastAsia="Times New Roman" w:hAnsi="Times New Roman" w:cs="Times New Roman"/>
          <w:i/>
          <w:iCs/>
          <w:color w:val="383F4E"/>
          <w:sz w:val="24"/>
          <w:szCs w:val="24"/>
          <w:lang w:eastAsia="fr-FR"/>
        </w:rPr>
        <w:t> dès lors qu’elle ne viserait que l’identité féminine de la victime »</w:t>
      </w:r>
      <w:r w:rsidRPr="00A6765F">
        <w:rPr>
          <w:rFonts w:ascii="Times New Roman" w:eastAsia="Times New Roman" w:hAnsi="Times New Roman" w:cs="Times New Roman"/>
          <w:color w:val="383F4E"/>
          <w:sz w:val="24"/>
          <w:szCs w:val="24"/>
          <w:lang w:eastAsia="fr-FR"/>
        </w:rPr>
        <w:t>. Mais la CNCDH en recommande l’usage </w:t>
      </w:r>
      <w:r w:rsidRPr="00A6765F">
        <w:rPr>
          <w:rFonts w:ascii="Times New Roman" w:eastAsia="Times New Roman" w:hAnsi="Times New Roman" w:cs="Times New Roman"/>
          <w:i/>
          <w:iCs/>
          <w:color w:val="383F4E"/>
          <w:sz w:val="24"/>
          <w:szCs w:val="24"/>
          <w:lang w:eastAsia="fr-FR"/>
        </w:rPr>
        <w:t>« à la fois sur la scène internationale dans le langage diplomatique français, mais aussi dans le vocabulaire courant, en particulier dans les médias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L’institution préconise de modifier légèrement le code pénal. Alors que, pour l’instant, parmi les circonstances aggravantes, la peine pour meurtre peut être alourdie </w:t>
      </w:r>
      <w:r w:rsidRPr="00A6765F">
        <w:rPr>
          <w:rFonts w:ascii="Times New Roman" w:eastAsia="Times New Roman" w:hAnsi="Times New Roman" w:cs="Times New Roman"/>
          <w:i/>
          <w:iCs/>
          <w:color w:val="383F4E"/>
          <w:sz w:val="24"/>
          <w:szCs w:val="24"/>
          <w:lang w:eastAsia="fr-FR"/>
        </w:rPr>
        <w:t>« à raison de l’orientation sexuelle de la victime »</w:t>
      </w:r>
      <w:r w:rsidRPr="00A6765F">
        <w:rPr>
          <w:rFonts w:ascii="Times New Roman" w:eastAsia="Times New Roman" w:hAnsi="Times New Roman" w:cs="Times New Roman"/>
          <w:color w:val="383F4E"/>
          <w:sz w:val="24"/>
          <w:szCs w:val="24"/>
          <w:lang w:eastAsia="fr-FR"/>
        </w:rPr>
        <w:t>, la CNCDH propose de remplacer cet alinéa par : </w:t>
      </w:r>
      <w:r w:rsidRPr="00A6765F">
        <w:rPr>
          <w:rFonts w:ascii="Times New Roman" w:eastAsia="Times New Roman" w:hAnsi="Times New Roman" w:cs="Times New Roman"/>
          <w:i/>
          <w:iCs/>
          <w:color w:val="383F4E"/>
          <w:sz w:val="24"/>
          <w:szCs w:val="24"/>
          <w:lang w:eastAsia="fr-FR"/>
        </w:rPr>
        <w:t>« à raison du sexe, de l’orientation sexuelle ou de l’identité de genre de la victime ».</w:t>
      </w:r>
      <w:r w:rsidRPr="00A6765F">
        <w:rPr>
          <w:rFonts w:ascii="Times New Roman" w:eastAsia="Times New Roman" w:hAnsi="Times New Roman" w:cs="Times New Roman"/>
          <w:color w:val="383F4E"/>
          <w:sz w:val="24"/>
          <w:szCs w:val="24"/>
          <w:lang w:eastAsia="fr-FR"/>
        </w:rPr>
        <w:t> Ce changement, estime l’institution, </w:t>
      </w:r>
      <w:r w:rsidRPr="00A6765F">
        <w:rPr>
          <w:rFonts w:ascii="Times New Roman" w:eastAsia="Times New Roman" w:hAnsi="Times New Roman" w:cs="Times New Roman"/>
          <w:i/>
          <w:iCs/>
          <w:color w:val="383F4E"/>
          <w:sz w:val="24"/>
          <w:szCs w:val="24"/>
          <w:lang w:eastAsia="fr-FR"/>
        </w:rPr>
        <w:t>« ne viserait pas l’identité de la victime mais la motivation sexiste de l’auteur des faits. Une telle modification permettrait de mieux saisir et sanctionner les meurtres des femmes parce qu’elles sont femmes qui interviennent en dehors de la sphère conjugale ».</w:t>
      </w:r>
    </w:p>
    <w:p w:rsidR="00A6765F" w:rsidRPr="00A6765F" w:rsidRDefault="00A6765F" w:rsidP="00A6765F">
      <w:pPr>
        <w:spacing w:before="100" w:beforeAutospacing="1" w:after="100" w:afterAutospacing="1" w:line="276" w:lineRule="auto"/>
        <w:jc w:val="both"/>
        <w:rPr>
          <w:rFonts w:ascii="Times New Roman" w:eastAsia="Times New Roman" w:hAnsi="Times New Roman" w:cs="Times New Roman"/>
          <w:color w:val="383F4E"/>
          <w:sz w:val="24"/>
          <w:szCs w:val="24"/>
          <w:lang w:eastAsia="fr-FR"/>
        </w:rPr>
      </w:pPr>
      <w:r w:rsidRPr="00A6765F">
        <w:rPr>
          <w:rFonts w:ascii="Times New Roman" w:eastAsia="Times New Roman" w:hAnsi="Times New Roman" w:cs="Times New Roman"/>
          <w:color w:val="383F4E"/>
          <w:sz w:val="24"/>
          <w:szCs w:val="24"/>
          <w:lang w:eastAsia="fr-FR"/>
        </w:rPr>
        <w:t xml:space="preserve">Des associations féministes se sont emparées de cette </w:t>
      </w:r>
      <w:r w:rsidRPr="00A6765F">
        <w:rPr>
          <w:rFonts w:ascii="Times New Roman" w:eastAsia="Times New Roman" w:hAnsi="Times New Roman" w:cs="Times New Roman"/>
          <w:sz w:val="24"/>
          <w:szCs w:val="24"/>
          <w:lang w:eastAsia="fr-FR"/>
        </w:rPr>
        <w:t>bataille. Dans une pétition publiée en ligne il y a quelques mois, le collectif Abandon de famille - tolérance zéro ! demande à Nicole Belloubet, la garde des sceaux, de publier une circulaire</w:t>
      </w:r>
      <w:r w:rsidRPr="00A6765F">
        <w:rPr>
          <w:rFonts w:ascii="Times New Roman" w:eastAsia="Times New Roman" w:hAnsi="Times New Roman" w:cs="Times New Roman"/>
          <w:color w:val="383F4E"/>
          <w:sz w:val="24"/>
          <w:szCs w:val="24"/>
          <w:lang w:eastAsia="fr-FR"/>
        </w:rPr>
        <w:t xml:space="preserve"> cadrant le vocabulaire des procureurs. </w:t>
      </w:r>
      <w:r w:rsidRPr="00A6765F">
        <w:rPr>
          <w:rFonts w:ascii="Times New Roman" w:eastAsia="Times New Roman" w:hAnsi="Times New Roman" w:cs="Times New Roman"/>
          <w:i/>
          <w:iCs/>
          <w:color w:val="383F4E"/>
          <w:sz w:val="24"/>
          <w:szCs w:val="24"/>
          <w:lang w:eastAsia="fr-FR"/>
        </w:rPr>
        <w:t>« Des phrases telles que </w:t>
      </w:r>
      <w:r w:rsidRPr="00A6765F">
        <w:rPr>
          <w:rFonts w:ascii="Times New Roman" w:eastAsia="Times New Roman" w:hAnsi="Times New Roman" w:cs="Times New Roman"/>
          <w:color w:val="383F4E"/>
          <w:sz w:val="24"/>
          <w:szCs w:val="24"/>
          <w:lang w:eastAsia="fr-FR"/>
        </w:rPr>
        <w:t>“</w:t>
      </w:r>
      <w:r w:rsidRPr="00A6765F">
        <w:rPr>
          <w:rFonts w:ascii="Times New Roman" w:eastAsia="Times New Roman" w:hAnsi="Times New Roman" w:cs="Times New Roman"/>
          <w:i/>
          <w:iCs/>
          <w:color w:val="383F4E"/>
          <w:sz w:val="24"/>
          <w:szCs w:val="24"/>
          <w:lang w:eastAsia="fr-FR"/>
        </w:rPr>
        <w:t>drame/crime passionnel/familial/de la séparation</w:t>
      </w:r>
      <w:r w:rsidRPr="00A6765F">
        <w:rPr>
          <w:rFonts w:ascii="Times New Roman" w:eastAsia="Times New Roman" w:hAnsi="Times New Roman" w:cs="Times New Roman"/>
          <w:color w:val="383F4E"/>
          <w:sz w:val="24"/>
          <w:szCs w:val="24"/>
          <w:lang w:eastAsia="fr-FR"/>
        </w:rPr>
        <w:t>” </w:t>
      </w:r>
      <w:r w:rsidRPr="00A6765F">
        <w:rPr>
          <w:rFonts w:ascii="Times New Roman" w:eastAsia="Times New Roman" w:hAnsi="Times New Roman" w:cs="Times New Roman"/>
          <w:i/>
          <w:iCs/>
          <w:color w:val="383F4E"/>
          <w:sz w:val="24"/>
          <w:szCs w:val="24"/>
          <w:lang w:eastAsia="fr-FR"/>
        </w:rPr>
        <w:t>par exemple ne devraient plus faire partie du lexique des agents du ministère de la justice. </w:t>
      </w:r>
      <w:r w:rsidRPr="00A6765F">
        <w:rPr>
          <w:rFonts w:ascii="Times New Roman" w:eastAsia="Times New Roman" w:hAnsi="Times New Roman" w:cs="Times New Roman"/>
          <w:color w:val="383F4E"/>
          <w:sz w:val="24"/>
          <w:szCs w:val="24"/>
          <w:lang w:eastAsia="fr-FR"/>
        </w:rPr>
        <w:t>(…)</w:t>
      </w:r>
      <w:r w:rsidRPr="00A6765F">
        <w:rPr>
          <w:rFonts w:ascii="Times New Roman" w:eastAsia="Times New Roman" w:hAnsi="Times New Roman" w:cs="Times New Roman"/>
          <w:i/>
          <w:iCs/>
          <w:color w:val="383F4E"/>
          <w:sz w:val="24"/>
          <w:szCs w:val="24"/>
          <w:lang w:eastAsia="fr-FR"/>
        </w:rPr>
        <w:t> L’utilisation de telles expressions nie le fait que les violences contre les femmes ne sont pas des faits divers mais des occurrences d’un problème systémique culturel : la domination masculine </w:t>
      </w:r>
      <w:r w:rsidRPr="00A6765F">
        <w:rPr>
          <w:rFonts w:ascii="Times New Roman" w:eastAsia="Times New Roman" w:hAnsi="Times New Roman" w:cs="Times New Roman"/>
          <w:color w:val="383F4E"/>
          <w:sz w:val="24"/>
          <w:szCs w:val="24"/>
          <w:lang w:eastAsia="fr-FR"/>
        </w:rPr>
        <w:t>», écrivent-elles. Le texte a recueilli plus de 6 000 signatures.</w:t>
      </w:r>
    </w:p>
    <w:p w:rsidR="00A6765F" w:rsidRPr="00C500EA" w:rsidRDefault="00A6765F" w:rsidP="00A6765F">
      <w:pPr>
        <w:jc w:val="both"/>
        <w:rPr>
          <w:rFonts w:ascii="Times New Roman" w:hAnsi="Times New Roman" w:cs="Times New Roman"/>
          <w:sz w:val="28"/>
          <w:szCs w:val="28"/>
        </w:rPr>
      </w:pPr>
    </w:p>
    <w:p w:rsidR="00E26BB9" w:rsidRPr="00A6765F" w:rsidRDefault="00E26BB9" w:rsidP="00A6765F">
      <w:pPr>
        <w:tabs>
          <w:tab w:val="left" w:pos="2880"/>
        </w:tabs>
      </w:pPr>
    </w:p>
    <w:sectPr w:rsidR="00E26BB9" w:rsidRPr="00A6765F" w:rsidSect="005748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240" w:rsidRDefault="00BF4240" w:rsidP="0011665E">
      <w:pPr>
        <w:spacing w:after="0" w:line="240" w:lineRule="auto"/>
      </w:pPr>
      <w:r>
        <w:separator/>
      </w:r>
    </w:p>
  </w:endnote>
  <w:endnote w:type="continuationSeparator" w:id="1">
    <w:p w:rsidR="00BF4240" w:rsidRDefault="00BF4240" w:rsidP="00116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E" w:rsidRPr="001150D4" w:rsidRDefault="00C26013" w:rsidP="001150D4">
    <w:pPr>
      <w:pStyle w:val="Pieddepage"/>
      <w:jc w:val="center"/>
      <w:rPr>
        <w:rFonts w:asciiTheme="majorHAnsi" w:eastAsiaTheme="majorEastAsia" w:hAnsiTheme="majorHAnsi" w:cstheme="majorHAnsi"/>
        <w:color w:val="4472C4" w:themeColor="accent1"/>
        <w:sz w:val="18"/>
        <w:szCs w:val="18"/>
      </w:rPr>
    </w:pPr>
    <w:r w:rsidRPr="00C26013">
      <w:rPr>
        <w:noProof/>
        <w:color w:val="4472C4" w:themeColor="accent1"/>
      </w:rPr>
      <w:pict>
        <v:rect id="Rectangle 452" o:spid="_x0000_s4097" style="position:absolute;left:0;text-align:left;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DC466C" w:rsidRPr="001150D4">
      <w:rPr>
        <w:rFonts w:asciiTheme="majorHAnsi" w:eastAsiaTheme="majorEastAsia" w:hAnsiTheme="majorHAnsi" w:cstheme="majorBidi"/>
        <w:b/>
        <w:bCs/>
        <w:color w:val="4472C4" w:themeColor="accent1"/>
        <w:sz w:val="18"/>
        <w:szCs w:val="18"/>
      </w:rPr>
      <w:t xml:space="preserve">Cabinet d’Avocats BUCHINGER </w:t>
    </w:r>
    <w:r w:rsidR="00DC466C" w:rsidRPr="001150D4">
      <w:rPr>
        <w:rFonts w:asciiTheme="majorHAnsi" w:eastAsiaTheme="majorEastAsia" w:hAnsiTheme="majorHAnsi" w:cstheme="majorHAnsi"/>
        <w:b/>
        <w:bCs/>
        <w:color w:val="4472C4" w:themeColor="accent1"/>
        <w:sz w:val="18"/>
        <w:szCs w:val="18"/>
      </w:rPr>
      <w:t>&amp; RUBIN</w:t>
    </w:r>
    <w:r w:rsidR="00DC466C" w:rsidRPr="001150D4">
      <w:rPr>
        <w:rFonts w:asciiTheme="majorHAnsi" w:eastAsiaTheme="majorEastAsia" w:hAnsiTheme="majorHAnsi" w:cstheme="majorHAnsi"/>
        <w:color w:val="4472C4" w:themeColor="accent1"/>
        <w:sz w:val="18"/>
        <w:szCs w:val="18"/>
      </w:rPr>
      <w:t xml:space="preserve"> – 66 Avenue Victor Hugo</w:t>
    </w:r>
    <w:r w:rsidR="001150D4">
      <w:rPr>
        <w:rFonts w:asciiTheme="majorHAnsi" w:eastAsiaTheme="majorEastAsia" w:hAnsiTheme="majorHAnsi" w:cstheme="majorHAnsi"/>
        <w:color w:val="4472C4" w:themeColor="accent1"/>
        <w:sz w:val="18"/>
        <w:szCs w:val="18"/>
      </w:rPr>
      <w:t xml:space="preserve"> -</w:t>
    </w:r>
    <w:r w:rsidR="00DC466C" w:rsidRPr="001150D4">
      <w:rPr>
        <w:rFonts w:asciiTheme="majorHAnsi" w:eastAsiaTheme="majorEastAsia" w:hAnsiTheme="majorHAnsi" w:cstheme="majorHAnsi"/>
        <w:color w:val="4472C4" w:themeColor="accent1"/>
        <w:sz w:val="18"/>
        <w:szCs w:val="18"/>
      </w:rPr>
      <w:t xml:space="preserve"> Immeuble Léonard de Vinci </w:t>
    </w:r>
    <w:r w:rsidR="001150D4">
      <w:rPr>
        <w:rFonts w:asciiTheme="majorHAnsi" w:eastAsiaTheme="majorEastAsia" w:hAnsiTheme="majorHAnsi" w:cstheme="majorHAnsi"/>
        <w:color w:val="4472C4" w:themeColor="accent1"/>
        <w:sz w:val="18"/>
        <w:szCs w:val="18"/>
      </w:rPr>
      <w:t>-</w:t>
    </w:r>
    <w:r w:rsidR="00DC466C" w:rsidRPr="001150D4">
      <w:rPr>
        <w:rFonts w:asciiTheme="majorHAnsi" w:eastAsiaTheme="majorEastAsia" w:hAnsiTheme="majorHAnsi" w:cstheme="majorHAnsi"/>
        <w:color w:val="4472C4" w:themeColor="accent1"/>
        <w:sz w:val="18"/>
        <w:szCs w:val="18"/>
      </w:rPr>
      <w:t>75116 PARIS</w:t>
    </w:r>
  </w:p>
  <w:p w:rsidR="00DC466C" w:rsidRPr="001150D4" w:rsidRDefault="00DC466C" w:rsidP="001150D4">
    <w:pPr>
      <w:pStyle w:val="Pieddepage"/>
      <w:jc w:val="center"/>
      <w:rPr>
        <w:rFonts w:asciiTheme="majorHAnsi" w:eastAsiaTheme="majorEastAsia" w:hAnsiTheme="majorHAnsi" w:cstheme="majorHAnsi"/>
        <w:color w:val="4472C4" w:themeColor="accent1"/>
        <w:sz w:val="18"/>
        <w:szCs w:val="18"/>
      </w:rPr>
    </w:pPr>
    <w:r w:rsidRPr="001150D4">
      <w:rPr>
        <w:rFonts w:asciiTheme="majorHAnsi" w:eastAsiaTheme="majorEastAsia" w:hAnsiTheme="majorHAnsi" w:cstheme="majorHAnsi"/>
        <w:b/>
        <w:bCs/>
        <w:i/>
        <w:iCs/>
        <w:color w:val="4472C4" w:themeColor="accent1"/>
        <w:sz w:val="18"/>
        <w:szCs w:val="18"/>
      </w:rPr>
      <w:t>Tél :</w:t>
    </w:r>
    <w:r w:rsidR="001150D4" w:rsidRPr="001150D4">
      <w:rPr>
        <w:rFonts w:asciiTheme="majorHAnsi" w:eastAsiaTheme="majorEastAsia" w:hAnsiTheme="majorHAnsi" w:cstheme="majorHAnsi"/>
        <w:color w:val="4472C4" w:themeColor="accent1"/>
        <w:sz w:val="18"/>
        <w:szCs w:val="18"/>
      </w:rPr>
      <w:t>01.45.00.90.97 _ Port</w:t>
    </w:r>
    <w:r w:rsidRPr="001150D4">
      <w:rPr>
        <w:rFonts w:asciiTheme="majorHAnsi" w:eastAsiaTheme="majorEastAsia" w:hAnsiTheme="majorHAnsi" w:cstheme="majorHAnsi"/>
        <w:b/>
        <w:bCs/>
        <w:i/>
        <w:iCs/>
        <w:color w:val="4472C4" w:themeColor="accent1"/>
        <w:sz w:val="18"/>
        <w:szCs w:val="18"/>
      </w:rPr>
      <w:t> :</w:t>
    </w:r>
    <w:r w:rsidR="001150D4" w:rsidRPr="001150D4">
      <w:rPr>
        <w:rFonts w:asciiTheme="majorHAnsi" w:eastAsiaTheme="majorEastAsia" w:hAnsiTheme="majorHAnsi" w:cstheme="majorHAnsi"/>
        <w:color w:val="4472C4" w:themeColor="accent1"/>
        <w:sz w:val="18"/>
        <w:szCs w:val="18"/>
      </w:rPr>
      <w:t>06.21.50.70.79</w:t>
    </w:r>
    <w:r w:rsidR="001150D4">
      <w:rPr>
        <w:rFonts w:asciiTheme="majorHAnsi" w:eastAsiaTheme="majorEastAsia" w:hAnsiTheme="majorHAnsi" w:cstheme="majorHAnsi"/>
        <w:color w:val="4472C4" w:themeColor="accent1"/>
        <w:sz w:val="18"/>
        <w:szCs w:val="18"/>
      </w:rPr>
      <w:t>_</w:t>
    </w:r>
    <w:r w:rsidR="001150D4" w:rsidRPr="001150D4">
      <w:rPr>
        <w:rFonts w:asciiTheme="majorHAnsi" w:eastAsiaTheme="majorEastAsia" w:hAnsiTheme="majorHAnsi" w:cstheme="majorHAnsi"/>
        <w:b/>
        <w:bCs/>
        <w:i/>
        <w:iCs/>
        <w:color w:val="4472C4" w:themeColor="accent1"/>
        <w:sz w:val="18"/>
        <w:szCs w:val="18"/>
      </w:rPr>
      <w:t>Mail</w:t>
    </w:r>
    <w:r w:rsidRPr="001150D4">
      <w:rPr>
        <w:rFonts w:asciiTheme="majorHAnsi" w:eastAsiaTheme="majorEastAsia" w:hAnsiTheme="majorHAnsi" w:cstheme="majorHAnsi"/>
        <w:b/>
        <w:bCs/>
        <w:i/>
        <w:iCs/>
        <w:color w:val="4472C4" w:themeColor="accent1"/>
        <w:sz w:val="18"/>
        <w:szCs w:val="18"/>
      </w:rPr>
      <w:t xml:space="preserve"> : </w:t>
    </w:r>
    <w:hyperlink r:id="rId1" w:history="1">
      <w:r w:rsidRPr="001150D4">
        <w:rPr>
          <w:rStyle w:val="Lienhypertexte"/>
          <w:rFonts w:asciiTheme="majorHAnsi" w:eastAsiaTheme="majorEastAsia" w:hAnsiTheme="majorHAnsi" w:cstheme="majorHAnsi"/>
          <w:sz w:val="18"/>
          <w:szCs w:val="18"/>
        </w:rPr>
        <w:t>avocats@buchinger-rubin.com</w:t>
      </w:r>
    </w:hyperlink>
    <w:r w:rsidR="001150D4" w:rsidRPr="001150D4">
      <w:rPr>
        <w:rFonts w:asciiTheme="majorHAnsi" w:eastAsiaTheme="majorEastAsia" w:hAnsiTheme="majorHAnsi" w:cstheme="majorHAnsi"/>
        <w:color w:val="4472C4" w:themeColor="accent1"/>
        <w:sz w:val="18"/>
        <w:szCs w:val="18"/>
      </w:rPr>
      <w:t>&amp;</w:t>
    </w:r>
    <w:hyperlink r:id="rId2" w:history="1">
      <w:r w:rsidR="001150D4" w:rsidRPr="001150D4">
        <w:rPr>
          <w:rStyle w:val="Lienhypertexte"/>
          <w:rFonts w:asciiTheme="majorHAnsi" w:eastAsiaTheme="majorEastAsia" w:hAnsiTheme="majorHAnsi" w:cstheme="majorHAnsi"/>
          <w:sz w:val="18"/>
          <w:szCs w:val="18"/>
        </w:rPr>
        <w:t>judith@buchinger-rubin.com</w:t>
      </w:r>
    </w:hyperlink>
  </w:p>
  <w:p w:rsidR="001150D4" w:rsidRPr="001150D4" w:rsidRDefault="001150D4" w:rsidP="001150D4">
    <w:pPr>
      <w:pStyle w:val="Pieddepage"/>
      <w:jc w:val="center"/>
      <w:rPr>
        <w:b/>
        <w:bCs/>
        <w:sz w:val="18"/>
        <w:szCs w:val="18"/>
      </w:rPr>
    </w:pPr>
    <w:r w:rsidRPr="001150D4">
      <w:rPr>
        <w:rFonts w:asciiTheme="majorHAnsi" w:eastAsiaTheme="majorEastAsia" w:hAnsiTheme="majorHAnsi" w:cstheme="majorHAnsi"/>
        <w:b/>
        <w:bCs/>
        <w:color w:val="4472C4" w:themeColor="accent1"/>
        <w:sz w:val="18"/>
        <w:szCs w:val="18"/>
      </w:rPr>
      <w:t>www.buchinger-rubin.com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240" w:rsidRDefault="00BF4240" w:rsidP="0011665E">
      <w:pPr>
        <w:spacing w:after="0" w:line="240" w:lineRule="auto"/>
      </w:pPr>
      <w:r>
        <w:separator/>
      </w:r>
    </w:p>
  </w:footnote>
  <w:footnote w:type="continuationSeparator" w:id="1">
    <w:p w:rsidR="00BF4240" w:rsidRDefault="00BF4240" w:rsidP="00116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E" w:rsidRDefault="0011665E" w:rsidP="00A6765F">
    <w:pPr>
      <w:pStyle w:val="En-tte"/>
      <w:jc w:val="center"/>
    </w:pPr>
    <w:r>
      <w:rPr>
        <w:noProof/>
        <w:lang w:eastAsia="fr-FR"/>
      </w:rPr>
      <w:drawing>
        <wp:inline distT="0" distB="0" distL="0" distR="0">
          <wp:extent cx="1688356" cy="91884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mp;R-fonce-Web.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7268" cy="934580"/>
                  </a:xfrm>
                  <a:prstGeom prst="rect">
                    <a:avLst/>
                  </a:prstGeom>
                </pic:spPr>
              </pic:pic>
            </a:graphicData>
          </a:graphic>
        </wp:inline>
      </w:drawing>
    </w:r>
  </w:p>
  <w:p w:rsidR="0011665E" w:rsidRDefault="001166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944"/>
    <w:multiLevelType w:val="hybridMultilevel"/>
    <w:tmpl w:val="FFA6442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04352059"/>
    <w:multiLevelType w:val="hybridMultilevel"/>
    <w:tmpl w:val="56E86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202012"/>
    <w:multiLevelType w:val="multilevel"/>
    <w:tmpl w:val="1FBCD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B67BE3"/>
    <w:multiLevelType w:val="hybridMultilevel"/>
    <w:tmpl w:val="00621BF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0FBE2F98"/>
    <w:multiLevelType w:val="hybridMultilevel"/>
    <w:tmpl w:val="58C620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5383DCB"/>
    <w:multiLevelType w:val="multilevel"/>
    <w:tmpl w:val="A1E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3F22B0"/>
    <w:multiLevelType w:val="hybridMultilevel"/>
    <w:tmpl w:val="E7567D42"/>
    <w:lvl w:ilvl="0" w:tplc="4FAA89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A4517"/>
    <w:multiLevelType w:val="multilevel"/>
    <w:tmpl w:val="8816325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321E55CB"/>
    <w:multiLevelType w:val="multilevel"/>
    <w:tmpl w:val="3952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3C80AEF"/>
    <w:multiLevelType w:val="hybridMultilevel"/>
    <w:tmpl w:val="5F6C3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88061CA"/>
    <w:multiLevelType w:val="multilevel"/>
    <w:tmpl w:val="BAB4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C2D6F93"/>
    <w:multiLevelType w:val="hybridMultilevel"/>
    <w:tmpl w:val="578AC9D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67C6738E"/>
    <w:multiLevelType w:val="hybridMultilevel"/>
    <w:tmpl w:val="E2D24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1B220A"/>
    <w:multiLevelType w:val="multilevel"/>
    <w:tmpl w:val="19E81D7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nsid w:val="779D2707"/>
    <w:multiLevelType w:val="hybridMultilevel"/>
    <w:tmpl w:val="DCD8E07A"/>
    <w:lvl w:ilvl="0" w:tplc="4FAA89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B151503"/>
    <w:multiLevelType w:val="hybridMultilevel"/>
    <w:tmpl w:val="96C200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7B3D2E11"/>
    <w:multiLevelType w:val="hybridMultilevel"/>
    <w:tmpl w:val="F1F4A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6"/>
  </w:num>
  <w:num w:numId="4">
    <w:abstractNumId w:val="1"/>
  </w:num>
  <w:num w:numId="5">
    <w:abstractNumId w:val="12"/>
  </w:num>
  <w:num w:numId="6">
    <w:abstractNumId w:val="16"/>
  </w:num>
  <w:num w:numId="7">
    <w:abstractNumId w:val="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15"/>
  </w:num>
  <w:num w:numId="13">
    <w:abstractNumId w:val="10"/>
  </w:num>
  <w:num w:numId="14">
    <w:abstractNumId w:val="7"/>
  </w:num>
  <w:num w:numId="15">
    <w:abstractNumId w:val="3"/>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1665E"/>
    <w:rsid w:val="0004496F"/>
    <w:rsid w:val="000A13CB"/>
    <w:rsid w:val="000A67F5"/>
    <w:rsid w:val="001150D4"/>
    <w:rsid w:val="0011665E"/>
    <w:rsid w:val="001814C5"/>
    <w:rsid w:val="00222AFA"/>
    <w:rsid w:val="00287A8B"/>
    <w:rsid w:val="00334115"/>
    <w:rsid w:val="004A77C2"/>
    <w:rsid w:val="00501120"/>
    <w:rsid w:val="00532C55"/>
    <w:rsid w:val="00556BBE"/>
    <w:rsid w:val="005748A4"/>
    <w:rsid w:val="005A1A0C"/>
    <w:rsid w:val="005F534A"/>
    <w:rsid w:val="00613D48"/>
    <w:rsid w:val="006A623A"/>
    <w:rsid w:val="006B0687"/>
    <w:rsid w:val="006C7510"/>
    <w:rsid w:val="006D4F18"/>
    <w:rsid w:val="00727242"/>
    <w:rsid w:val="007C4389"/>
    <w:rsid w:val="00855B43"/>
    <w:rsid w:val="00895B79"/>
    <w:rsid w:val="008C3981"/>
    <w:rsid w:val="009821C3"/>
    <w:rsid w:val="00A6765F"/>
    <w:rsid w:val="00A72BA7"/>
    <w:rsid w:val="00AC7130"/>
    <w:rsid w:val="00AE2D73"/>
    <w:rsid w:val="00B878C4"/>
    <w:rsid w:val="00BF4240"/>
    <w:rsid w:val="00C26013"/>
    <w:rsid w:val="00C3585A"/>
    <w:rsid w:val="00C84A3E"/>
    <w:rsid w:val="00DA037D"/>
    <w:rsid w:val="00DC466C"/>
    <w:rsid w:val="00E26BB9"/>
    <w:rsid w:val="00E543F3"/>
    <w:rsid w:val="00E55A4F"/>
    <w:rsid w:val="00E81549"/>
    <w:rsid w:val="00EB73BC"/>
    <w:rsid w:val="00EF2FC5"/>
    <w:rsid w:val="00F11611"/>
    <w:rsid w:val="00F14801"/>
    <w:rsid w:val="00F57A0B"/>
    <w:rsid w:val="00F57DB8"/>
    <w:rsid w:val="00FA03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4"/>
  </w:style>
  <w:style w:type="paragraph" w:styleId="Titre2">
    <w:name w:val="heading 2"/>
    <w:basedOn w:val="Normal"/>
    <w:next w:val="Normal"/>
    <w:link w:val="Titre2Car"/>
    <w:uiPriority w:val="9"/>
    <w:semiHidden/>
    <w:unhideWhenUsed/>
    <w:qFormat/>
    <w:rsid w:val="00855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855B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B73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166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665E"/>
    <w:rPr>
      <w:b/>
      <w:bCs/>
    </w:rPr>
  </w:style>
  <w:style w:type="character" w:styleId="Accentuation">
    <w:name w:val="Emphasis"/>
    <w:basedOn w:val="Policepardfaut"/>
    <w:uiPriority w:val="20"/>
    <w:qFormat/>
    <w:rsid w:val="0011665E"/>
    <w:rPr>
      <w:i/>
      <w:iCs/>
    </w:rPr>
  </w:style>
  <w:style w:type="character" w:styleId="Lienhypertexte">
    <w:name w:val="Hyperlink"/>
    <w:basedOn w:val="Policepardfaut"/>
    <w:uiPriority w:val="99"/>
    <w:unhideWhenUsed/>
    <w:rsid w:val="0011665E"/>
    <w:rPr>
      <w:color w:val="0000FF"/>
      <w:u w:val="single"/>
    </w:rPr>
  </w:style>
  <w:style w:type="paragraph" w:styleId="En-tte">
    <w:name w:val="header"/>
    <w:basedOn w:val="Normal"/>
    <w:link w:val="En-tteCar"/>
    <w:uiPriority w:val="99"/>
    <w:unhideWhenUsed/>
    <w:rsid w:val="0011665E"/>
    <w:pPr>
      <w:tabs>
        <w:tab w:val="center" w:pos="4536"/>
        <w:tab w:val="right" w:pos="9072"/>
      </w:tabs>
      <w:spacing w:after="0" w:line="240" w:lineRule="auto"/>
    </w:pPr>
  </w:style>
  <w:style w:type="character" w:customStyle="1" w:styleId="En-tteCar">
    <w:name w:val="En-tête Car"/>
    <w:basedOn w:val="Policepardfaut"/>
    <w:link w:val="En-tte"/>
    <w:uiPriority w:val="99"/>
    <w:rsid w:val="0011665E"/>
  </w:style>
  <w:style w:type="paragraph" w:styleId="Pieddepage">
    <w:name w:val="footer"/>
    <w:basedOn w:val="Normal"/>
    <w:link w:val="PieddepageCar"/>
    <w:uiPriority w:val="99"/>
    <w:unhideWhenUsed/>
    <w:rsid w:val="00116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65E"/>
  </w:style>
  <w:style w:type="character" w:customStyle="1" w:styleId="UnresolvedMention">
    <w:name w:val="Unresolved Mention"/>
    <w:basedOn w:val="Policepardfaut"/>
    <w:uiPriority w:val="99"/>
    <w:semiHidden/>
    <w:unhideWhenUsed/>
    <w:rsid w:val="00DC466C"/>
    <w:rPr>
      <w:color w:val="605E5C"/>
      <w:shd w:val="clear" w:color="auto" w:fill="E1DFDD"/>
    </w:rPr>
  </w:style>
  <w:style w:type="paragraph" w:customStyle="1" w:styleId="niv1">
    <w:name w:val="niv1"/>
    <w:basedOn w:val="Normal"/>
    <w:uiPriority w:val="99"/>
    <w:rsid w:val="00855B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55B43"/>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855B43"/>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EB73BC"/>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EB73BC"/>
    <w:pPr>
      <w:spacing w:after="200" w:line="276" w:lineRule="auto"/>
      <w:ind w:left="720"/>
      <w:contextualSpacing/>
    </w:pPr>
  </w:style>
  <w:style w:type="character" w:customStyle="1" w:styleId="citation">
    <w:name w:val="citation"/>
    <w:basedOn w:val="Policepardfaut"/>
    <w:rsid w:val="00EB73BC"/>
  </w:style>
  <w:style w:type="character" w:customStyle="1" w:styleId="spipnoteref">
    <w:name w:val="spip_note_ref"/>
    <w:basedOn w:val="Policepardfaut"/>
    <w:rsid w:val="00EB73BC"/>
  </w:style>
  <w:style w:type="table" w:styleId="Grilledutableau">
    <w:name w:val="Table Grid"/>
    <w:basedOn w:val="TableauNormal"/>
    <w:uiPriority w:val="59"/>
    <w:rsid w:val="00EB7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87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59847">
      <w:bodyDiv w:val="1"/>
      <w:marLeft w:val="0"/>
      <w:marRight w:val="0"/>
      <w:marTop w:val="0"/>
      <w:marBottom w:val="0"/>
      <w:divBdr>
        <w:top w:val="none" w:sz="0" w:space="0" w:color="auto"/>
        <w:left w:val="none" w:sz="0" w:space="0" w:color="auto"/>
        <w:bottom w:val="none" w:sz="0" w:space="0" w:color="auto"/>
        <w:right w:val="none" w:sz="0" w:space="0" w:color="auto"/>
      </w:divBdr>
    </w:div>
    <w:div w:id="767964511">
      <w:bodyDiv w:val="1"/>
      <w:marLeft w:val="0"/>
      <w:marRight w:val="0"/>
      <w:marTop w:val="0"/>
      <w:marBottom w:val="0"/>
      <w:divBdr>
        <w:top w:val="none" w:sz="0" w:space="0" w:color="auto"/>
        <w:left w:val="none" w:sz="0" w:space="0" w:color="auto"/>
        <w:bottom w:val="none" w:sz="0" w:space="0" w:color="auto"/>
        <w:right w:val="none" w:sz="0" w:space="0" w:color="auto"/>
      </w:divBdr>
    </w:div>
    <w:div w:id="1107701586">
      <w:bodyDiv w:val="1"/>
      <w:marLeft w:val="0"/>
      <w:marRight w:val="0"/>
      <w:marTop w:val="0"/>
      <w:marBottom w:val="0"/>
      <w:divBdr>
        <w:top w:val="none" w:sz="0" w:space="0" w:color="auto"/>
        <w:left w:val="none" w:sz="0" w:space="0" w:color="auto"/>
        <w:bottom w:val="none" w:sz="0" w:space="0" w:color="auto"/>
        <w:right w:val="none" w:sz="0" w:space="0" w:color="auto"/>
      </w:divBdr>
    </w:div>
    <w:div w:id="1429883821">
      <w:bodyDiv w:val="1"/>
      <w:marLeft w:val="0"/>
      <w:marRight w:val="0"/>
      <w:marTop w:val="0"/>
      <w:marBottom w:val="0"/>
      <w:divBdr>
        <w:top w:val="none" w:sz="0" w:space="0" w:color="auto"/>
        <w:left w:val="none" w:sz="0" w:space="0" w:color="auto"/>
        <w:bottom w:val="none" w:sz="0" w:space="0" w:color="auto"/>
        <w:right w:val="none" w:sz="0" w:space="0" w:color="auto"/>
      </w:divBdr>
      <w:divsChild>
        <w:div w:id="1117260242">
          <w:blockQuote w:val="1"/>
          <w:marLeft w:val="720"/>
          <w:marRight w:val="720"/>
          <w:marTop w:val="480"/>
          <w:marBottom w:val="480"/>
          <w:divBdr>
            <w:top w:val="none" w:sz="0" w:space="11" w:color="E30917"/>
            <w:left w:val="single" w:sz="24" w:space="11" w:color="E30917"/>
            <w:bottom w:val="none" w:sz="0" w:space="11" w:color="E30917"/>
            <w:right w:val="none" w:sz="0" w:space="11" w:color="E30917"/>
          </w:divBdr>
        </w:div>
      </w:divsChild>
    </w:div>
    <w:div w:id="1711420549">
      <w:bodyDiv w:val="1"/>
      <w:marLeft w:val="0"/>
      <w:marRight w:val="0"/>
      <w:marTop w:val="0"/>
      <w:marBottom w:val="0"/>
      <w:divBdr>
        <w:top w:val="none" w:sz="0" w:space="0" w:color="auto"/>
        <w:left w:val="none" w:sz="0" w:space="0" w:color="auto"/>
        <w:bottom w:val="none" w:sz="0" w:space="0" w:color="auto"/>
        <w:right w:val="none" w:sz="0" w:space="0" w:color="auto"/>
      </w:divBdr>
    </w:div>
    <w:div w:id="1781100062">
      <w:bodyDiv w:val="1"/>
      <w:marLeft w:val="0"/>
      <w:marRight w:val="0"/>
      <w:marTop w:val="0"/>
      <w:marBottom w:val="0"/>
      <w:divBdr>
        <w:top w:val="none" w:sz="0" w:space="0" w:color="auto"/>
        <w:left w:val="none" w:sz="0" w:space="0" w:color="auto"/>
        <w:bottom w:val="none" w:sz="0" w:space="0" w:color="auto"/>
        <w:right w:val="none" w:sz="0" w:space="0" w:color="auto"/>
      </w:divBdr>
    </w:div>
    <w:div w:id="1930431776">
      <w:bodyDiv w:val="1"/>
      <w:marLeft w:val="0"/>
      <w:marRight w:val="0"/>
      <w:marTop w:val="0"/>
      <w:marBottom w:val="0"/>
      <w:divBdr>
        <w:top w:val="none" w:sz="0" w:space="0" w:color="auto"/>
        <w:left w:val="none" w:sz="0" w:space="0" w:color="auto"/>
        <w:bottom w:val="none" w:sz="0" w:space="0" w:color="auto"/>
        <w:right w:val="none" w:sz="0" w:space="0" w:color="auto"/>
      </w:divBdr>
    </w:div>
    <w:div w:id="20190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udith@buchinger-rubin.com" TargetMode="External"/><Relationship Id="rId1" Type="http://schemas.openxmlformats.org/officeDocument/2006/relationships/hyperlink" Target="mailto:avocats@buchinger-rub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buchinger</dc:creator>
  <cp:lastModifiedBy>Léa Marteaux</cp:lastModifiedBy>
  <cp:revision>2</cp:revision>
  <cp:lastPrinted>2020-04-30T07:13:00Z</cp:lastPrinted>
  <dcterms:created xsi:type="dcterms:W3CDTF">2020-06-19T15:11:00Z</dcterms:created>
  <dcterms:modified xsi:type="dcterms:W3CDTF">2020-06-19T15:11:00Z</dcterms:modified>
</cp:coreProperties>
</file>